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ECEA" w14:textId="02E2BE18" w:rsidR="00B4241D" w:rsidRPr="008A544B" w:rsidRDefault="008A544B" w:rsidP="008A544B">
      <w:pPr>
        <w:jc w:val="center"/>
        <w:rPr>
          <w:b/>
          <w:bCs/>
          <w:u w:val="single"/>
        </w:rPr>
      </w:pPr>
      <w:r w:rsidRPr="008A544B">
        <w:rPr>
          <w:b/>
          <w:bCs/>
          <w:u w:val="single"/>
        </w:rPr>
        <w:t>Annual Governance and Accountability Return 2025-2026</w:t>
      </w:r>
    </w:p>
    <w:p w14:paraId="23AFC20B" w14:textId="36C0D6C9" w:rsidR="008A544B" w:rsidRPr="00DA6E66" w:rsidRDefault="008A544B">
      <w:pPr>
        <w:rPr>
          <w:b/>
          <w:bCs/>
          <w:u w:val="single"/>
        </w:rPr>
      </w:pPr>
      <w:r w:rsidRPr="00DA6E66">
        <w:rPr>
          <w:b/>
          <w:bCs/>
          <w:u w:val="single"/>
        </w:rPr>
        <w:t>Assertions:</w:t>
      </w:r>
    </w:p>
    <w:p w14:paraId="5DCC80F1" w14:textId="49B1A7E1" w:rsidR="008A544B" w:rsidRDefault="008A544B">
      <w:r w:rsidRPr="008A544B">
        <w:rPr>
          <w:b/>
          <w:bCs/>
        </w:rPr>
        <w:t>Assertion1</w:t>
      </w:r>
      <w:r>
        <w:t xml:space="preserve"> - </w:t>
      </w:r>
      <w:proofErr w:type="spellStart"/>
      <w:r>
        <w:t>Year end</w:t>
      </w:r>
      <w:proofErr w:type="spellEnd"/>
      <w:r>
        <w:t xml:space="preserve"> bank statement of all accounts to support balances on the bank reconciliation – enclosed.</w:t>
      </w:r>
    </w:p>
    <w:p w14:paraId="57D58085" w14:textId="52BACEBA" w:rsidR="008A544B" w:rsidRDefault="008A544B">
      <w:r w:rsidRPr="008A544B">
        <w:rPr>
          <w:b/>
          <w:bCs/>
        </w:rPr>
        <w:t>Assertion 4</w:t>
      </w:r>
      <w:r>
        <w:t xml:space="preserve"> – A copy of the website link showing the 24/25 audited AGAR and completion notice being displayed - </w:t>
      </w:r>
      <w:hyperlink r:id="rId5" w:history="1">
        <w:r w:rsidRPr="009E4ED6">
          <w:rPr>
            <w:rStyle w:val="Hyperlink"/>
          </w:rPr>
          <w:t>https://amble.gov.uk/administration/financial-information/external-audit/</w:t>
        </w:r>
      </w:hyperlink>
    </w:p>
    <w:p w14:paraId="5A419FE0" w14:textId="5A9F4B68" w:rsidR="008A544B" w:rsidRDefault="008A544B">
      <w:r w:rsidRPr="008A544B">
        <w:rPr>
          <w:b/>
          <w:bCs/>
        </w:rPr>
        <w:t>Assertion 7</w:t>
      </w:r>
      <w:r>
        <w:t xml:space="preserve"> – A copy of the meeting minutes showing the authority’s consideration of the 24/25 external auditor report – enclosed</w:t>
      </w:r>
    </w:p>
    <w:p w14:paraId="46812641" w14:textId="28018C05" w:rsidR="008A544B" w:rsidRPr="00B85D60" w:rsidRDefault="008A544B">
      <w:pPr>
        <w:rPr>
          <w:b/>
          <w:bCs/>
        </w:rPr>
      </w:pPr>
      <w:r w:rsidRPr="00B85D60">
        <w:rPr>
          <w:b/>
          <w:bCs/>
        </w:rPr>
        <w:t>Additional Information:</w:t>
      </w:r>
    </w:p>
    <w:p w14:paraId="701CCC4A" w14:textId="669278BC" w:rsidR="008A544B" w:rsidRDefault="008A544B" w:rsidP="00B85D60">
      <w:pPr>
        <w:pStyle w:val="ListParagraph"/>
        <w:numPr>
          <w:ilvl w:val="0"/>
          <w:numId w:val="1"/>
        </w:numPr>
      </w:pPr>
      <w:r>
        <w:t xml:space="preserve">A bank reconciliation showing balances of all </w:t>
      </w:r>
      <w:proofErr w:type="gramStart"/>
      <w:r>
        <w:t>bank</w:t>
      </w:r>
      <w:proofErr w:type="gramEnd"/>
      <w:r>
        <w:t xml:space="preserve"> and building society accounts 31 March 2026 </w:t>
      </w:r>
      <w:r w:rsidR="001D7883">
        <w:t>–</w:t>
      </w:r>
      <w:r>
        <w:t xml:space="preserve"> </w:t>
      </w:r>
      <w:r w:rsidR="001D7883">
        <w:t>enclosed</w:t>
      </w:r>
    </w:p>
    <w:p w14:paraId="706F7335" w14:textId="0C86D210" w:rsidR="001D7883" w:rsidRDefault="00B85D60" w:rsidP="00B85D60">
      <w:pPr>
        <w:pStyle w:val="ListParagraph"/>
        <w:numPr>
          <w:ilvl w:val="0"/>
          <w:numId w:val="1"/>
        </w:numPr>
      </w:pPr>
      <w:r>
        <w:t>Explanation of significant variances – enclosed</w:t>
      </w:r>
    </w:p>
    <w:p w14:paraId="684F4E72" w14:textId="759A5A68" w:rsidR="00B85D60" w:rsidRDefault="00B85D60" w:rsidP="00B85D60">
      <w:pPr>
        <w:pStyle w:val="ListParagraph"/>
        <w:numPr>
          <w:ilvl w:val="0"/>
          <w:numId w:val="1"/>
        </w:numPr>
      </w:pPr>
      <w:r>
        <w:t>Reconciliation of Box 7 and 8</w:t>
      </w:r>
      <w:r w:rsidR="00DA6E66">
        <w:t xml:space="preserve"> - enclosed</w:t>
      </w:r>
    </w:p>
    <w:p w14:paraId="00A8DF81" w14:textId="5566FC72" w:rsidR="00B85D60" w:rsidRDefault="00B85D60" w:rsidP="00B85D60">
      <w:pPr>
        <w:pStyle w:val="ListParagraph"/>
        <w:numPr>
          <w:ilvl w:val="0"/>
          <w:numId w:val="1"/>
        </w:numPr>
      </w:pPr>
      <w:r>
        <w:t>Earmarked Reserves</w:t>
      </w:r>
    </w:p>
    <w:p w14:paraId="51524D55" w14:textId="08571184" w:rsidR="00CC7067" w:rsidRDefault="00CC7067" w:rsidP="00CC7067">
      <w:pPr>
        <w:pStyle w:val="ListParagraph"/>
        <w:numPr>
          <w:ilvl w:val="1"/>
          <w:numId w:val="1"/>
        </w:numPr>
      </w:pPr>
      <w:r>
        <w:t xml:space="preserve">Council allocates its earmarked reserves for future projects and pieces of work.  Enclosed is the most recent allocation as agreed by Members. The 2025-2026 allocation will be agreed after the completion of the 25/26 accounts to ensure accuracy. </w:t>
      </w:r>
    </w:p>
    <w:p w14:paraId="7FABC60B" w14:textId="5064B488" w:rsidR="00B85D60" w:rsidRDefault="00B85D60" w:rsidP="00B85D60">
      <w:pPr>
        <w:pStyle w:val="ListParagraph"/>
        <w:numPr>
          <w:ilvl w:val="0"/>
          <w:numId w:val="1"/>
        </w:numPr>
      </w:pPr>
      <w:r>
        <w:t>Confirmation of Contact Details</w:t>
      </w:r>
      <w:r w:rsidR="00DA6E66">
        <w:t xml:space="preserve"> - enclosed</w:t>
      </w:r>
    </w:p>
    <w:p w14:paraId="586A2CAE" w14:textId="3DB05F2D" w:rsidR="00B85D60" w:rsidRDefault="00B85D60" w:rsidP="00B85D60">
      <w:pPr>
        <w:pStyle w:val="ListParagraph"/>
        <w:numPr>
          <w:ilvl w:val="0"/>
          <w:numId w:val="1"/>
        </w:numPr>
      </w:pPr>
      <w:r>
        <w:t>Notice of appointment for Electors rights</w:t>
      </w:r>
      <w:r w:rsidR="00DA6E66">
        <w:t xml:space="preserve"> - enclosed</w:t>
      </w:r>
    </w:p>
    <w:p w14:paraId="28C331D9" w14:textId="2D422224" w:rsidR="00B85D60" w:rsidRPr="001A4A69" w:rsidRDefault="00B85D60" w:rsidP="00B85D60">
      <w:pPr>
        <w:rPr>
          <w:b/>
          <w:bCs/>
        </w:rPr>
      </w:pPr>
      <w:r w:rsidRPr="001A4A69">
        <w:rPr>
          <w:b/>
          <w:bCs/>
        </w:rPr>
        <w:t>Details of action taken in respect of all recommendations made by external audit in 2024/25:</w:t>
      </w:r>
    </w:p>
    <w:p w14:paraId="5CDDC5A4" w14:textId="13162F6F" w:rsidR="00B85D60" w:rsidRDefault="00B85D60" w:rsidP="00B85D60">
      <w:pPr>
        <w:rPr>
          <w:i/>
          <w:iCs/>
        </w:rPr>
      </w:pPr>
      <w:r w:rsidRPr="00B85D60">
        <w:rPr>
          <w:i/>
          <w:iCs/>
        </w:rPr>
        <w:t>The Accounts and Audit Regulations require that the Authority publishes Sections 1 and 2, a declaration that the status of the statement of accounts is 'unaudited' and a statement that sets out details of how public rights can be exercised on a free to access website (Item 1.28). This requirement has not been met for the 2024/25 accounts. In future, the Council needs to ensure that it can always meet its statutory obligations in relation to publishing accounts and advertising public rights. It should also mark the assertion regarding providing proper opportunity during the year for the exercise of electors' rights as "No" when completing the 2025/26 Annual Governance and Accountability Return.</w:t>
      </w:r>
    </w:p>
    <w:p w14:paraId="3CEFF37C" w14:textId="1DE01BF4" w:rsidR="00B85D60" w:rsidRDefault="00DA6E66" w:rsidP="00B85D60">
      <w:r>
        <w:t xml:space="preserve">This occurred because the documentation, although displayed in noticeboards correctly, had been scanned to our website single sided and therefore the full document was not there.  This issue was rectified as soon as it was brought to our attention via a telephone call with yourselves before the completion of audit, </w:t>
      </w:r>
      <w:proofErr w:type="gramStart"/>
      <w:r>
        <w:t>however</w:t>
      </w:r>
      <w:proofErr w:type="gramEnd"/>
      <w:r>
        <w:t xml:space="preserve"> was too late.  </w:t>
      </w:r>
      <w:r w:rsidR="00B85D60">
        <w:lastRenderedPageBreak/>
        <w:t xml:space="preserve">Care has been taken to ensure that scanned copies of unaudited and audited accounts have been copied / scanned double sided when published and that all information is present.  Wording for 2025-2026 has been updated.  As a result of this other matter, the </w:t>
      </w:r>
      <w:r w:rsidR="00B85D60" w:rsidRPr="00B85D60">
        <w:t xml:space="preserve">assertion regarding providing proper opportunity during the year for the exercise of electors' rights </w:t>
      </w:r>
      <w:r w:rsidR="00B85D60">
        <w:t>h</w:t>
      </w:r>
      <w:r w:rsidR="00B85D60" w:rsidRPr="00B85D60">
        <w:t>as</w:t>
      </w:r>
      <w:r w:rsidR="00B85D60">
        <w:t xml:space="preserve"> been marked as</w:t>
      </w:r>
      <w:r w:rsidR="00B85D60" w:rsidRPr="00B85D60">
        <w:t xml:space="preserve"> "No" when completing the 2025/26 Annual Governance and Accountability Return.</w:t>
      </w:r>
    </w:p>
    <w:p w14:paraId="4B85A2EB" w14:textId="66ABC36A" w:rsidR="001A4A69" w:rsidRPr="001A4A69" w:rsidRDefault="001A4A69" w:rsidP="00B85D60">
      <w:pPr>
        <w:rPr>
          <w:b/>
          <w:bCs/>
        </w:rPr>
      </w:pPr>
      <w:r w:rsidRPr="001A4A69">
        <w:rPr>
          <w:b/>
          <w:bCs/>
        </w:rPr>
        <w:t>Details of any reasons for the selecting any of the Annual Governance Statement (section 1) assertions as “No”</w:t>
      </w:r>
    </w:p>
    <w:p w14:paraId="557D4810" w14:textId="2B2A1398" w:rsidR="001A4A69" w:rsidRDefault="001A4A69" w:rsidP="00B85D60">
      <w:r>
        <w:t>As per the 2024-2025 audit, Council has ticked no in assertion 4 (Section 1) as per the guidance received on the completion of the 24-25 audit.  Council has ensured that the 25-26 is compliant.</w:t>
      </w:r>
    </w:p>
    <w:p w14:paraId="5D61ADE2" w14:textId="60176E2D" w:rsidR="001A4A69" w:rsidRDefault="001A4A69" w:rsidP="00B85D60">
      <w:r>
        <w:t>Internal Audit Report – enclosed.</w:t>
      </w:r>
    </w:p>
    <w:p w14:paraId="0EDBD1B8" w14:textId="4E5A4767" w:rsidR="001A4A69" w:rsidRDefault="001A4A69" w:rsidP="00B85D60">
      <w:r>
        <w:t>Details of assertion 10 compliance – enclosed.</w:t>
      </w:r>
    </w:p>
    <w:p w14:paraId="38BF41D5" w14:textId="4A321E21" w:rsidR="001A4A69" w:rsidRDefault="001A4A69" w:rsidP="00B85D60">
      <w:r>
        <w:t>Annual Governance and Accountability Statement – enclosed.</w:t>
      </w:r>
    </w:p>
    <w:p w14:paraId="2505A3D0" w14:textId="77777777" w:rsidR="001A4A69" w:rsidRPr="00B85D60" w:rsidRDefault="001A4A69" w:rsidP="00B85D60"/>
    <w:sectPr w:rsidR="001A4A69" w:rsidRPr="00B8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27D"/>
    <w:multiLevelType w:val="hybridMultilevel"/>
    <w:tmpl w:val="A9BE5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56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4B"/>
    <w:rsid w:val="001A4A69"/>
    <w:rsid w:val="001D7883"/>
    <w:rsid w:val="00344DFD"/>
    <w:rsid w:val="008A544B"/>
    <w:rsid w:val="008A5E41"/>
    <w:rsid w:val="008E5267"/>
    <w:rsid w:val="009876E2"/>
    <w:rsid w:val="00B4241D"/>
    <w:rsid w:val="00B85D60"/>
    <w:rsid w:val="00CC7067"/>
    <w:rsid w:val="00DA6E66"/>
    <w:rsid w:val="00E12B4C"/>
    <w:rsid w:val="00EF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BBC6"/>
  <w15:chartTrackingRefBased/>
  <w15:docId w15:val="{CB7EE6C0-E85A-489A-B7C6-4C8F0AD9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44B"/>
    <w:rPr>
      <w:rFonts w:eastAsiaTheme="majorEastAsia" w:cstheme="majorBidi"/>
      <w:color w:val="272727" w:themeColor="text1" w:themeTint="D8"/>
    </w:rPr>
  </w:style>
  <w:style w:type="paragraph" w:styleId="Title">
    <w:name w:val="Title"/>
    <w:basedOn w:val="Normal"/>
    <w:next w:val="Normal"/>
    <w:link w:val="TitleChar"/>
    <w:uiPriority w:val="10"/>
    <w:qFormat/>
    <w:rsid w:val="008A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4B"/>
    <w:pPr>
      <w:spacing w:before="160"/>
      <w:jc w:val="center"/>
    </w:pPr>
    <w:rPr>
      <w:i/>
      <w:iCs/>
      <w:color w:val="404040" w:themeColor="text1" w:themeTint="BF"/>
    </w:rPr>
  </w:style>
  <w:style w:type="character" w:customStyle="1" w:styleId="QuoteChar">
    <w:name w:val="Quote Char"/>
    <w:basedOn w:val="DefaultParagraphFont"/>
    <w:link w:val="Quote"/>
    <w:uiPriority w:val="29"/>
    <w:rsid w:val="008A544B"/>
    <w:rPr>
      <w:i/>
      <w:iCs/>
      <w:color w:val="404040" w:themeColor="text1" w:themeTint="BF"/>
    </w:rPr>
  </w:style>
  <w:style w:type="paragraph" w:styleId="ListParagraph">
    <w:name w:val="List Paragraph"/>
    <w:basedOn w:val="Normal"/>
    <w:uiPriority w:val="34"/>
    <w:qFormat/>
    <w:rsid w:val="008A544B"/>
    <w:pPr>
      <w:ind w:left="720"/>
      <w:contextualSpacing/>
    </w:pPr>
  </w:style>
  <w:style w:type="character" w:styleId="IntenseEmphasis">
    <w:name w:val="Intense Emphasis"/>
    <w:basedOn w:val="DefaultParagraphFont"/>
    <w:uiPriority w:val="21"/>
    <w:qFormat/>
    <w:rsid w:val="008A544B"/>
    <w:rPr>
      <w:i/>
      <w:iCs/>
      <w:color w:val="0F4761" w:themeColor="accent1" w:themeShade="BF"/>
    </w:rPr>
  </w:style>
  <w:style w:type="paragraph" w:styleId="IntenseQuote">
    <w:name w:val="Intense Quote"/>
    <w:basedOn w:val="Normal"/>
    <w:next w:val="Normal"/>
    <w:link w:val="IntenseQuoteChar"/>
    <w:uiPriority w:val="30"/>
    <w:qFormat/>
    <w:rsid w:val="008A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4B"/>
    <w:rPr>
      <w:i/>
      <w:iCs/>
      <w:color w:val="0F4761" w:themeColor="accent1" w:themeShade="BF"/>
    </w:rPr>
  </w:style>
  <w:style w:type="character" w:styleId="IntenseReference">
    <w:name w:val="Intense Reference"/>
    <w:basedOn w:val="DefaultParagraphFont"/>
    <w:uiPriority w:val="32"/>
    <w:qFormat/>
    <w:rsid w:val="008A544B"/>
    <w:rPr>
      <w:b/>
      <w:bCs/>
      <w:smallCaps/>
      <w:color w:val="0F4761" w:themeColor="accent1" w:themeShade="BF"/>
      <w:spacing w:val="5"/>
    </w:rPr>
  </w:style>
  <w:style w:type="character" w:styleId="Hyperlink">
    <w:name w:val="Hyperlink"/>
    <w:basedOn w:val="DefaultParagraphFont"/>
    <w:uiPriority w:val="99"/>
    <w:unhideWhenUsed/>
    <w:rsid w:val="008A544B"/>
    <w:rPr>
      <w:color w:val="467886" w:themeColor="hyperlink"/>
      <w:u w:val="single"/>
    </w:rPr>
  </w:style>
  <w:style w:type="character" w:styleId="UnresolvedMention">
    <w:name w:val="Unresolved Mention"/>
    <w:basedOn w:val="DefaultParagraphFont"/>
    <w:uiPriority w:val="99"/>
    <w:semiHidden/>
    <w:unhideWhenUsed/>
    <w:rsid w:val="008A5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ble.gov.uk/administration/financial-information/external-au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469</Words>
  <Characters>2634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3</cp:revision>
  <cp:lastPrinted>2026-04-14T10:45:00Z</cp:lastPrinted>
  <dcterms:created xsi:type="dcterms:W3CDTF">2026-04-08T11:16:00Z</dcterms:created>
  <dcterms:modified xsi:type="dcterms:W3CDTF">2026-04-14T10:48:00Z</dcterms:modified>
</cp:coreProperties>
</file>