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8438" w14:textId="77777777" w:rsidR="00EF5D85" w:rsidRPr="0072208B" w:rsidRDefault="00EF5D85">
      <w:pPr>
        <w:rPr>
          <w:rFonts w:ascii="Arial" w:hAnsi="Arial" w:cs="Arial"/>
          <w:b/>
          <w:bCs/>
        </w:rPr>
      </w:pPr>
      <w:r w:rsidRPr="0072208B">
        <w:rPr>
          <w:rFonts w:ascii="Arial" w:hAnsi="Arial" w:cs="Arial"/>
          <w:b/>
          <w:bCs/>
        </w:rPr>
        <w:t>Assertion 10 - Digital and data compliance</w:t>
      </w:r>
    </w:p>
    <w:p w14:paraId="45C74B60" w14:textId="63AACB70" w:rsidR="00EF5D85" w:rsidRPr="0072208B" w:rsidRDefault="00EF5D85">
      <w:pPr>
        <w:rPr>
          <w:rFonts w:ascii="Arial" w:hAnsi="Arial" w:cs="Arial"/>
          <w:b/>
          <w:bCs/>
        </w:rPr>
      </w:pPr>
      <w:r w:rsidRPr="0072208B">
        <w:rPr>
          <w:rFonts w:ascii="Arial" w:hAnsi="Arial" w:cs="Arial"/>
          <w:b/>
          <w:bCs/>
        </w:rPr>
        <w:t xml:space="preserve">To warrant a positive response to this assertion, the authority needs to have taken the following actions:  </w:t>
      </w:r>
    </w:p>
    <w:p w14:paraId="608BA49D" w14:textId="2F7C865A" w:rsidR="00EF5D85" w:rsidRPr="0072208B" w:rsidRDefault="00EF5D85">
      <w:pPr>
        <w:rPr>
          <w:rFonts w:ascii="Arial" w:hAnsi="Arial" w:cs="Arial"/>
          <w:b/>
          <w:bCs/>
        </w:rPr>
      </w:pPr>
      <w:r w:rsidRPr="0072208B">
        <w:rPr>
          <w:rFonts w:ascii="Arial" w:hAnsi="Arial" w:cs="Arial"/>
          <w:b/>
          <w:bCs/>
        </w:rPr>
        <w:t xml:space="preserve">1.47  Email management - every authority must have a generic email account hosted on an authority owned domain, for example clerk@abcparishcouncil.gov.uk or clerk@abcparishcouncil.org.uk rather than abcparishclerk@gmail.com or </w:t>
      </w:r>
      <w:hyperlink r:id="rId5" w:history="1">
        <w:r w:rsidRPr="0072208B">
          <w:rPr>
            <w:rStyle w:val="Hyperlink"/>
            <w:rFonts w:ascii="Arial" w:hAnsi="Arial" w:cs="Arial"/>
            <w:b/>
            <w:bCs/>
            <w:color w:val="auto"/>
          </w:rPr>
          <w:t>abcparishclerk@outlook.com</w:t>
        </w:r>
      </w:hyperlink>
      <w:r w:rsidRPr="0072208B">
        <w:rPr>
          <w:rFonts w:ascii="Arial" w:hAnsi="Arial" w:cs="Arial"/>
          <w:b/>
          <w:bCs/>
        </w:rPr>
        <w:t xml:space="preserve">. </w:t>
      </w:r>
    </w:p>
    <w:p w14:paraId="0A174E40" w14:textId="302E1949" w:rsidR="00EF5D85" w:rsidRPr="0072208B" w:rsidRDefault="00EF5D85">
      <w:pPr>
        <w:rPr>
          <w:rFonts w:ascii="Arial" w:hAnsi="Arial" w:cs="Arial"/>
        </w:rPr>
      </w:pPr>
      <w:r w:rsidRPr="0072208B">
        <w:rPr>
          <w:rFonts w:ascii="Arial" w:hAnsi="Arial" w:cs="Arial"/>
        </w:rPr>
        <w:t xml:space="preserve">Compliance:  All Amble Town Council staff have generic .gov.uk email addresses; </w:t>
      </w:r>
      <w:hyperlink r:id="rId6" w:history="1">
        <w:r w:rsidRPr="0072208B">
          <w:rPr>
            <w:rStyle w:val="Hyperlink"/>
            <w:rFonts w:ascii="Arial" w:hAnsi="Arial" w:cs="Arial"/>
            <w:color w:val="auto"/>
          </w:rPr>
          <w:t>townclerk@amble.gov.uk</w:t>
        </w:r>
      </w:hyperlink>
      <w:r w:rsidRPr="0072208B">
        <w:rPr>
          <w:rFonts w:ascii="Arial" w:hAnsi="Arial" w:cs="Arial"/>
        </w:rPr>
        <w:t xml:space="preserve">; </w:t>
      </w:r>
      <w:hyperlink r:id="rId7" w:history="1">
        <w:r w:rsidRPr="0072208B">
          <w:rPr>
            <w:rStyle w:val="Hyperlink"/>
            <w:rFonts w:ascii="Arial" w:hAnsi="Arial" w:cs="Arial"/>
            <w:color w:val="auto"/>
          </w:rPr>
          <w:t>admin@amble.gov.uk</w:t>
        </w:r>
      </w:hyperlink>
      <w:r w:rsidRPr="0072208B">
        <w:rPr>
          <w:rFonts w:ascii="Arial" w:hAnsi="Arial" w:cs="Arial"/>
        </w:rPr>
        <w:t xml:space="preserve">; </w:t>
      </w:r>
      <w:hyperlink r:id="rId8" w:history="1">
        <w:r w:rsidRPr="0072208B">
          <w:rPr>
            <w:rStyle w:val="Hyperlink"/>
            <w:rFonts w:ascii="Arial" w:hAnsi="Arial" w:cs="Arial"/>
            <w:color w:val="auto"/>
          </w:rPr>
          <w:t>ask@amble.gov.uk</w:t>
        </w:r>
      </w:hyperlink>
      <w:r w:rsidRPr="0072208B">
        <w:rPr>
          <w:rFonts w:ascii="Arial" w:hAnsi="Arial" w:cs="Arial"/>
        </w:rPr>
        <w:t xml:space="preserve"> </w:t>
      </w:r>
    </w:p>
    <w:p w14:paraId="1F83047D" w14:textId="1E3609CF" w:rsidR="00EF5D85" w:rsidRPr="0072208B" w:rsidRDefault="00EF5D85">
      <w:pPr>
        <w:rPr>
          <w:rFonts w:ascii="Arial" w:hAnsi="Arial" w:cs="Arial"/>
        </w:rPr>
      </w:pPr>
      <w:r w:rsidRPr="0072208B">
        <w:rPr>
          <w:rFonts w:ascii="Arial" w:hAnsi="Arial" w:cs="Arial"/>
        </w:rPr>
        <w:t xml:space="preserve">All Amble Town Councillors </w:t>
      </w:r>
      <w:proofErr w:type="gramStart"/>
      <w:r w:rsidRPr="0072208B">
        <w:rPr>
          <w:rFonts w:ascii="Arial" w:hAnsi="Arial" w:cs="Arial"/>
        </w:rPr>
        <w:t>have .</w:t>
      </w:r>
      <w:proofErr w:type="gramEnd"/>
      <w:r w:rsidRPr="0072208B">
        <w:rPr>
          <w:rFonts w:ascii="Arial" w:hAnsi="Arial" w:cs="Arial"/>
        </w:rPr>
        <w:t>gov.uk email addresses.  Amble Town Council has a service level agreement with Northumberland County Council for the provision of all IT support including email addresses.</w:t>
      </w:r>
    </w:p>
    <w:p w14:paraId="58A1D163" w14:textId="77777777" w:rsidR="00EF5D85" w:rsidRPr="0072208B" w:rsidRDefault="00EF5D85">
      <w:pPr>
        <w:rPr>
          <w:rFonts w:ascii="Arial" w:hAnsi="Arial" w:cs="Arial"/>
          <w:b/>
          <w:bCs/>
        </w:rPr>
      </w:pPr>
      <w:r w:rsidRPr="0072208B">
        <w:rPr>
          <w:rFonts w:ascii="Arial" w:hAnsi="Arial" w:cs="Arial"/>
          <w:b/>
          <w:bCs/>
        </w:rPr>
        <w:t xml:space="preserve">1.48 All smaller authorities (excluding parish meetings) must meet legal requirements for all existing websites regardless of what domain is being used. </w:t>
      </w:r>
    </w:p>
    <w:p w14:paraId="5DE51DF7" w14:textId="6738CFF1" w:rsidR="0063476A" w:rsidRPr="0072208B" w:rsidRDefault="0063476A">
      <w:pPr>
        <w:rPr>
          <w:rFonts w:ascii="Arial" w:hAnsi="Arial" w:cs="Arial"/>
        </w:rPr>
      </w:pPr>
      <w:r w:rsidRPr="0072208B">
        <w:rPr>
          <w:rFonts w:ascii="Arial" w:hAnsi="Arial" w:cs="Arial"/>
        </w:rPr>
        <w:t>Amble Town Councils website is hosted externally by Team Valley Web.</w:t>
      </w:r>
    </w:p>
    <w:p w14:paraId="10D8969E" w14:textId="77777777" w:rsidR="00EF5D85" w:rsidRPr="0072208B" w:rsidRDefault="00EF5D85">
      <w:pPr>
        <w:rPr>
          <w:rFonts w:ascii="Arial" w:hAnsi="Arial" w:cs="Arial"/>
          <w:b/>
          <w:bCs/>
        </w:rPr>
      </w:pPr>
      <w:r w:rsidRPr="0072208B">
        <w:rPr>
          <w:rFonts w:ascii="Arial" w:hAnsi="Arial" w:cs="Arial"/>
          <w:b/>
          <w:bCs/>
        </w:rPr>
        <w:t xml:space="preserve">1.49 All websites must meet the Web Content Accessibility Guidelines 2.2 AA and the Public Sector Bodies (Websites and Mobile Applications) (No. 2) Accessibility Regulations 2018.  </w:t>
      </w:r>
    </w:p>
    <w:p w14:paraId="2EDA660B" w14:textId="14E24DC1" w:rsidR="0063476A" w:rsidRPr="0072208B" w:rsidRDefault="0063476A">
      <w:pPr>
        <w:rPr>
          <w:rFonts w:ascii="Arial" w:hAnsi="Arial" w:cs="Arial"/>
        </w:rPr>
      </w:pPr>
      <w:r w:rsidRPr="0072208B">
        <w:rPr>
          <w:rFonts w:ascii="Arial" w:hAnsi="Arial" w:cs="Arial"/>
        </w:rPr>
        <w:t xml:space="preserve">Team Valley Web conducted an accessibility assessment of amble.gov.uk in December 2025 and confirmed that it met the required Web Content Accessibility Guidelines 2.2AA and Public Sector Bodies (websites and mobile </w:t>
      </w:r>
      <w:proofErr w:type="gramStart"/>
      <w:r w:rsidRPr="0072208B">
        <w:rPr>
          <w:rFonts w:ascii="Arial" w:hAnsi="Arial" w:cs="Arial"/>
        </w:rPr>
        <w:t>applications)(</w:t>
      </w:r>
      <w:proofErr w:type="gramEnd"/>
      <w:r w:rsidRPr="0072208B">
        <w:rPr>
          <w:rFonts w:ascii="Arial" w:hAnsi="Arial" w:cs="Arial"/>
        </w:rPr>
        <w:t>No.2) Accessibility Regulations 2018 – see attached report.</w:t>
      </w:r>
    </w:p>
    <w:p w14:paraId="6B650708" w14:textId="77777777" w:rsidR="00EF5D85" w:rsidRPr="0072208B" w:rsidRDefault="00EF5D85">
      <w:pPr>
        <w:rPr>
          <w:rFonts w:ascii="Arial" w:hAnsi="Arial" w:cs="Arial"/>
          <w:b/>
          <w:bCs/>
        </w:rPr>
      </w:pPr>
      <w:r w:rsidRPr="0072208B">
        <w:rPr>
          <w:rFonts w:ascii="Arial" w:hAnsi="Arial" w:cs="Arial"/>
          <w:b/>
          <w:bCs/>
        </w:rPr>
        <w:t xml:space="preserve">1.50 All websites must include published documentation as specified in the Freedom of Information Act 2000 and the Transparency code for smaller authorities (where applicable).   </w:t>
      </w:r>
    </w:p>
    <w:p w14:paraId="12E224D7" w14:textId="0AB6CF53" w:rsidR="0063476A" w:rsidRPr="0072208B" w:rsidRDefault="0063476A">
      <w:pPr>
        <w:rPr>
          <w:rFonts w:ascii="Arial" w:hAnsi="Arial" w:cs="Arial"/>
        </w:rPr>
      </w:pPr>
      <w:r w:rsidRPr="0072208B">
        <w:rPr>
          <w:rFonts w:ascii="Arial" w:hAnsi="Arial" w:cs="Arial"/>
        </w:rPr>
        <w:t>Amble Town Council can confirm that it publishes the following information</w:t>
      </w:r>
      <w:r w:rsidR="00D661B7" w:rsidRPr="0072208B">
        <w:rPr>
          <w:rFonts w:ascii="Arial" w:hAnsi="Arial" w:cs="Arial"/>
        </w:rPr>
        <w:t xml:space="preserve"> as part of its publication scheme</w:t>
      </w:r>
      <w:r w:rsidRPr="0072208B">
        <w:rPr>
          <w:rFonts w:ascii="Arial" w:hAnsi="Arial" w:cs="Arial"/>
        </w:rPr>
        <w:t>:</w:t>
      </w:r>
    </w:p>
    <w:p w14:paraId="24B3A767" w14:textId="591423CA" w:rsidR="00C071C1" w:rsidRPr="0072208B" w:rsidRDefault="00C071C1" w:rsidP="00C071C1">
      <w:pPr>
        <w:pStyle w:val="ListParagraph"/>
        <w:numPr>
          <w:ilvl w:val="0"/>
          <w:numId w:val="6"/>
        </w:numPr>
        <w:rPr>
          <w:rFonts w:ascii="Arial" w:hAnsi="Arial" w:cs="Arial"/>
        </w:rPr>
      </w:pPr>
      <w:proofErr w:type="gramStart"/>
      <w:r w:rsidRPr="0072208B">
        <w:rPr>
          <w:rFonts w:ascii="Arial" w:hAnsi="Arial" w:cs="Arial"/>
        </w:rPr>
        <w:t>Councillors</w:t>
      </w:r>
      <w:proofErr w:type="gramEnd"/>
      <w:r w:rsidRPr="0072208B">
        <w:rPr>
          <w:rFonts w:ascii="Arial" w:hAnsi="Arial" w:cs="Arial"/>
        </w:rPr>
        <w:t xml:space="preserve"> names and contact details</w:t>
      </w:r>
    </w:p>
    <w:p w14:paraId="4DB226DA" w14:textId="43708046" w:rsidR="00C071C1" w:rsidRPr="0072208B" w:rsidRDefault="00C071C1" w:rsidP="00C071C1">
      <w:pPr>
        <w:pStyle w:val="ListParagraph"/>
        <w:numPr>
          <w:ilvl w:val="0"/>
          <w:numId w:val="6"/>
        </w:numPr>
        <w:rPr>
          <w:rFonts w:ascii="Arial" w:hAnsi="Arial" w:cs="Arial"/>
        </w:rPr>
      </w:pPr>
      <w:r w:rsidRPr="0072208B">
        <w:rPr>
          <w:rFonts w:ascii="Arial" w:hAnsi="Arial" w:cs="Arial"/>
        </w:rPr>
        <w:t>Location and contact detail of staff</w:t>
      </w:r>
    </w:p>
    <w:p w14:paraId="45E68522" w14:textId="5A33CDE8" w:rsidR="00C071C1" w:rsidRPr="0072208B" w:rsidRDefault="00C071C1" w:rsidP="00C071C1">
      <w:pPr>
        <w:pStyle w:val="ListParagraph"/>
        <w:numPr>
          <w:ilvl w:val="0"/>
          <w:numId w:val="6"/>
        </w:numPr>
        <w:rPr>
          <w:rFonts w:ascii="Arial" w:hAnsi="Arial" w:cs="Arial"/>
        </w:rPr>
      </w:pPr>
      <w:r w:rsidRPr="0072208B">
        <w:rPr>
          <w:rFonts w:ascii="Arial" w:hAnsi="Arial" w:cs="Arial"/>
        </w:rPr>
        <w:t>Meeting timetable</w:t>
      </w:r>
    </w:p>
    <w:p w14:paraId="69EEB3A5" w14:textId="740AA8AC" w:rsidR="00C071C1" w:rsidRPr="0072208B" w:rsidRDefault="00C071C1" w:rsidP="00C071C1">
      <w:pPr>
        <w:pStyle w:val="ListParagraph"/>
        <w:numPr>
          <w:ilvl w:val="0"/>
          <w:numId w:val="6"/>
        </w:numPr>
        <w:rPr>
          <w:rFonts w:ascii="Arial" w:hAnsi="Arial" w:cs="Arial"/>
        </w:rPr>
      </w:pPr>
      <w:r w:rsidRPr="0072208B">
        <w:rPr>
          <w:rFonts w:ascii="Arial" w:hAnsi="Arial" w:cs="Arial"/>
        </w:rPr>
        <w:t>Committee membership and Terms of Reference</w:t>
      </w:r>
    </w:p>
    <w:p w14:paraId="0943E781" w14:textId="38A70A5A" w:rsidR="00C071C1" w:rsidRPr="0072208B" w:rsidRDefault="00C071C1" w:rsidP="00C071C1">
      <w:pPr>
        <w:pStyle w:val="ListParagraph"/>
        <w:numPr>
          <w:ilvl w:val="0"/>
          <w:numId w:val="6"/>
        </w:numPr>
        <w:rPr>
          <w:rFonts w:ascii="Arial" w:hAnsi="Arial" w:cs="Arial"/>
        </w:rPr>
      </w:pPr>
      <w:r w:rsidRPr="0072208B">
        <w:rPr>
          <w:rFonts w:ascii="Arial" w:hAnsi="Arial" w:cs="Arial"/>
        </w:rPr>
        <w:t>Scheme of Delegation</w:t>
      </w:r>
    </w:p>
    <w:p w14:paraId="1CEEB4C0" w14:textId="669D64D2" w:rsidR="00C071C1" w:rsidRPr="0072208B" w:rsidRDefault="00C071C1" w:rsidP="00C071C1">
      <w:pPr>
        <w:pStyle w:val="ListParagraph"/>
        <w:numPr>
          <w:ilvl w:val="0"/>
          <w:numId w:val="6"/>
        </w:numPr>
        <w:rPr>
          <w:rFonts w:ascii="Arial" w:hAnsi="Arial" w:cs="Arial"/>
        </w:rPr>
      </w:pPr>
      <w:r w:rsidRPr="0072208B">
        <w:rPr>
          <w:rFonts w:ascii="Arial" w:hAnsi="Arial" w:cs="Arial"/>
        </w:rPr>
        <w:t>Staffing Structure</w:t>
      </w:r>
    </w:p>
    <w:p w14:paraId="583C78C4" w14:textId="289A3ED2" w:rsidR="0063476A" w:rsidRPr="0072208B" w:rsidRDefault="0063476A" w:rsidP="00C071C1">
      <w:pPr>
        <w:pStyle w:val="ListParagraph"/>
        <w:numPr>
          <w:ilvl w:val="0"/>
          <w:numId w:val="6"/>
        </w:numPr>
        <w:rPr>
          <w:rFonts w:ascii="Arial" w:hAnsi="Arial" w:cs="Arial"/>
        </w:rPr>
      </w:pPr>
      <w:r w:rsidRPr="0072208B">
        <w:rPr>
          <w:rFonts w:ascii="Arial" w:hAnsi="Arial" w:cs="Arial"/>
        </w:rPr>
        <w:t>Record of decisions via published minutes of meetings</w:t>
      </w:r>
    </w:p>
    <w:p w14:paraId="14D623E6" w14:textId="559F5AF4" w:rsidR="00C071C1" w:rsidRPr="0072208B" w:rsidRDefault="00C071C1" w:rsidP="00C071C1">
      <w:pPr>
        <w:pStyle w:val="ListParagraph"/>
        <w:numPr>
          <w:ilvl w:val="0"/>
          <w:numId w:val="6"/>
        </w:numPr>
        <w:rPr>
          <w:rFonts w:ascii="Arial" w:hAnsi="Arial" w:cs="Arial"/>
        </w:rPr>
      </w:pPr>
      <w:r w:rsidRPr="0072208B">
        <w:rPr>
          <w:rFonts w:ascii="Arial" w:hAnsi="Arial" w:cs="Arial"/>
        </w:rPr>
        <w:t>Minutes and Agendas</w:t>
      </w:r>
    </w:p>
    <w:p w14:paraId="0FB70CFE" w14:textId="67EC6B47" w:rsidR="0063476A" w:rsidRPr="0072208B" w:rsidRDefault="0063476A" w:rsidP="00C071C1">
      <w:pPr>
        <w:pStyle w:val="ListParagraph"/>
        <w:numPr>
          <w:ilvl w:val="0"/>
          <w:numId w:val="6"/>
        </w:numPr>
        <w:rPr>
          <w:rFonts w:ascii="Arial" w:hAnsi="Arial" w:cs="Arial"/>
        </w:rPr>
      </w:pPr>
      <w:r w:rsidRPr="0072208B">
        <w:rPr>
          <w:rFonts w:ascii="Arial" w:hAnsi="Arial" w:cs="Arial"/>
        </w:rPr>
        <w:t xml:space="preserve">Budget </w:t>
      </w:r>
      <w:r w:rsidR="00C071C1" w:rsidRPr="0072208B">
        <w:rPr>
          <w:rFonts w:ascii="Arial" w:hAnsi="Arial" w:cs="Arial"/>
        </w:rPr>
        <w:t xml:space="preserve">Summary </w:t>
      </w:r>
      <w:r w:rsidRPr="0072208B">
        <w:rPr>
          <w:rFonts w:ascii="Arial" w:hAnsi="Arial" w:cs="Arial"/>
        </w:rPr>
        <w:t>and Precept Information</w:t>
      </w:r>
    </w:p>
    <w:p w14:paraId="735A45DF" w14:textId="2090D03F" w:rsidR="0063476A" w:rsidRPr="0072208B" w:rsidRDefault="0063476A" w:rsidP="00C071C1">
      <w:pPr>
        <w:pStyle w:val="ListParagraph"/>
        <w:numPr>
          <w:ilvl w:val="0"/>
          <w:numId w:val="6"/>
        </w:numPr>
        <w:rPr>
          <w:rFonts w:ascii="Arial" w:hAnsi="Arial" w:cs="Arial"/>
        </w:rPr>
      </w:pPr>
      <w:r w:rsidRPr="0072208B">
        <w:rPr>
          <w:rFonts w:ascii="Arial" w:hAnsi="Arial" w:cs="Arial"/>
        </w:rPr>
        <w:lastRenderedPageBreak/>
        <w:t>Financial position</w:t>
      </w:r>
    </w:p>
    <w:p w14:paraId="7242CBD5" w14:textId="5A409BEA" w:rsidR="0063476A" w:rsidRPr="0072208B" w:rsidRDefault="0063476A" w:rsidP="00C071C1">
      <w:pPr>
        <w:pStyle w:val="ListParagraph"/>
        <w:numPr>
          <w:ilvl w:val="0"/>
          <w:numId w:val="6"/>
        </w:numPr>
        <w:rPr>
          <w:rFonts w:ascii="Arial" w:hAnsi="Arial" w:cs="Arial"/>
        </w:rPr>
      </w:pPr>
      <w:r w:rsidRPr="0072208B">
        <w:rPr>
          <w:rFonts w:ascii="Arial" w:hAnsi="Arial" w:cs="Arial"/>
        </w:rPr>
        <w:t>Organisational Structure, Location and Contact Information</w:t>
      </w:r>
    </w:p>
    <w:p w14:paraId="4BD07322" w14:textId="2CD62EBF" w:rsidR="0063476A" w:rsidRPr="0072208B" w:rsidRDefault="0063476A" w:rsidP="00C071C1">
      <w:pPr>
        <w:pStyle w:val="ListParagraph"/>
        <w:numPr>
          <w:ilvl w:val="0"/>
          <w:numId w:val="6"/>
        </w:numPr>
        <w:rPr>
          <w:rFonts w:ascii="Arial" w:hAnsi="Arial" w:cs="Arial"/>
        </w:rPr>
      </w:pPr>
      <w:r w:rsidRPr="0072208B">
        <w:rPr>
          <w:rFonts w:ascii="Arial" w:hAnsi="Arial" w:cs="Arial"/>
        </w:rPr>
        <w:t>Services, Policies and Procedures</w:t>
      </w:r>
      <w:r w:rsidR="00C071C1" w:rsidRPr="0072208B">
        <w:rPr>
          <w:rFonts w:ascii="Arial" w:hAnsi="Arial" w:cs="Arial"/>
        </w:rPr>
        <w:t xml:space="preserve"> Information</w:t>
      </w:r>
    </w:p>
    <w:p w14:paraId="3590CB95" w14:textId="7E039EB1" w:rsidR="0063476A" w:rsidRPr="0072208B" w:rsidRDefault="0063476A" w:rsidP="00C071C1">
      <w:pPr>
        <w:pStyle w:val="ListParagraph"/>
        <w:numPr>
          <w:ilvl w:val="0"/>
          <w:numId w:val="6"/>
        </w:numPr>
        <w:rPr>
          <w:rFonts w:ascii="Arial" w:hAnsi="Arial" w:cs="Arial"/>
        </w:rPr>
      </w:pPr>
      <w:r w:rsidRPr="0072208B">
        <w:rPr>
          <w:rFonts w:ascii="Arial" w:hAnsi="Arial" w:cs="Arial"/>
        </w:rPr>
        <w:t>Asset Register</w:t>
      </w:r>
    </w:p>
    <w:p w14:paraId="56D9ABA5" w14:textId="5F4492A2" w:rsidR="0063476A" w:rsidRPr="0072208B" w:rsidRDefault="0063476A" w:rsidP="00C071C1">
      <w:pPr>
        <w:pStyle w:val="ListParagraph"/>
        <w:numPr>
          <w:ilvl w:val="0"/>
          <w:numId w:val="6"/>
        </w:numPr>
        <w:rPr>
          <w:rFonts w:ascii="Arial" w:hAnsi="Arial" w:cs="Arial"/>
        </w:rPr>
      </w:pPr>
      <w:r w:rsidRPr="0072208B">
        <w:rPr>
          <w:rFonts w:ascii="Arial" w:hAnsi="Arial" w:cs="Arial"/>
        </w:rPr>
        <w:t>Annual Audited Accounts</w:t>
      </w:r>
      <w:r w:rsidR="00C071C1" w:rsidRPr="0072208B">
        <w:rPr>
          <w:rFonts w:ascii="Arial" w:hAnsi="Arial" w:cs="Arial"/>
        </w:rPr>
        <w:t xml:space="preserve"> and AGAR</w:t>
      </w:r>
    </w:p>
    <w:p w14:paraId="720A7370" w14:textId="4B22398F" w:rsidR="00C071C1" w:rsidRPr="0072208B" w:rsidRDefault="00C071C1" w:rsidP="00C071C1">
      <w:pPr>
        <w:pStyle w:val="ListParagraph"/>
        <w:numPr>
          <w:ilvl w:val="0"/>
          <w:numId w:val="6"/>
        </w:numPr>
        <w:rPr>
          <w:rFonts w:ascii="Arial" w:hAnsi="Arial" w:cs="Arial"/>
        </w:rPr>
      </w:pPr>
      <w:r w:rsidRPr="0072208B">
        <w:rPr>
          <w:rFonts w:ascii="Arial" w:hAnsi="Arial" w:cs="Arial"/>
        </w:rPr>
        <w:t xml:space="preserve">All Receipts and Payments </w:t>
      </w:r>
    </w:p>
    <w:p w14:paraId="68C919CA" w14:textId="0E1F063B" w:rsidR="00C071C1" w:rsidRPr="0072208B" w:rsidRDefault="00C071C1" w:rsidP="00C071C1">
      <w:pPr>
        <w:pStyle w:val="ListParagraph"/>
        <w:numPr>
          <w:ilvl w:val="0"/>
          <w:numId w:val="6"/>
        </w:numPr>
        <w:rPr>
          <w:rFonts w:ascii="Arial" w:hAnsi="Arial" w:cs="Arial"/>
        </w:rPr>
      </w:pPr>
      <w:r w:rsidRPr="0072208B">
        <w:rPr>
          <w:rFonts w:ascii="Arial" w:hAnsi="Arial" w:cs="Arial"/>
        </w:rPr>
        <w:t xml:space="preserve">Financial Regulations </w:t>
      </w:r>
    </w:p>
    <w:p w14:paraId="5391C2F5" w14:textId="4B442846" w:rsidR="00066A79" w:rsidRPr="0072208B" w:rsidRDefault="00066A79" w:rsidP="00C071C1">
      <w:pPr>
        <w:pStyle w:val="ListParagraph"/>
        <w:numPr>
          <w:ilvl w:val="0"/>
          <w:numId w:val="6"/>
        </w:numPr>
        <w:rPr>
          <w:rFonts w:ascii="Arial" w:hAnsi="Arial" w:cs="Arial"/>
        </w:rPr>
      </w:pPr>
      <w:r w:rsidRPr="0072208B">
        <w:rPr>
          <w:rFonts w:ascii="Arial" w:hAnsi="Arial" w:cs="Arial"/>
        </w:rPr>
        <w:t>Statement of Internal Control and Financial Risk Assessment</w:t>
      </w:r>
    </w:p>
    <w:p w14:paraId="1D6247A5" w14:textId="1456ACCB" w:rsidR="00C071C1" w:rsidRPr="0072208B" w:rsidRDefault="00C071C1" w:rsidP="00C071C1">
      <w:pPr>
        <w:pStyle w:val="ListParagraph"/>
        <w:numPr>
          <w:ilvl w:val="0"/>
          <w:numId w:val="6"/>
        </w:numPr>
        <w:rPr>
          <w:rFonts w:ascii="Arial" w:hAnsi="Arial" w:cs="Arial"/>
        </w:rPr>
      </w:pPr>
      <w:r w:rsidRPr="0072208B">
        <w:rPr>
          <w:rFonts w:ascii="Arial" w:hAnsi="Arial" w:cs="Arial"/>
        </w:rPr>
        <w:t xml:space="preserve">Standing Orders </w:t>
      </w:r>
    </w:p>
    <w:p w14:paraId="28CA523C" w14:textId="774D967C" w:rsidR="00C071C1" w:rsidRPr="0072208B" w:rsidRDefault="00C071C1" w:rsidP="00C071C1">
      <w:pPr>
        <w:pStyle w:val="ListParagraph"/>
        <w:numPr>
          <w:ilvl w:val="0"/>
          <w:numId w:val="6"/>
        </w:numPr>
        <w:rPr>
          <w:rFonts w:ascii="Arial" w:hAnsi="Arial" w:cs="Arial"/>
        </w:rPr>
      </w:pPr>
      <w:r w:rsidRPr="0072208B">
        <w:rPr>
          <w:rFonts w:ascii="Arial" w:hAnsi="Arial" w:cs="Arial"/>
        </w:rPr>
        <w:t>Grants given</w:t>
      </w:r>
    </w:p>
    <w:p w14:paraId="032AD601" w14:textId="5E690C49" w:rsidR="00C071C1" w:rsidRPr="0072208B" w:rsidRDefault="00C071C1" w:rsidP="00C071C1">
      <w:pPr>
        <w:pStyle w:val="ListParagraph"/>
        <w:numPr>
          <w:ilvl w:val="0"/>
          <w:numId w:val="6"/>
        </w:numPr>
        <w:rPr>
          <w:rFonts w:ascii="Arial" w:hAnsi="Arial" w:cs="Arial"/>
        </w:rPr>
      </w:pPr>
      <w:r w:rsidRPr="0072208B">
        <w:rPr>
          <w:rFonts w:ascii="Arial" w:hAnsi="Arial" w:cs="Arial"/>
        </w:rPr>
        <w:t>Data Protection Policy and Data Audit Working Document</w:t>
      </w:r>
    </w:p>
    <w:p w14:paraId="1C876F4E" w14:textId="6E0B3D30" w:rsidR="00C071C1" w:rsidRPr="0072208B" w:rsidRDefault="00C071C1" w:rsidP="00C071C1">
      <w:pPr>
        <w:pStyle w:val="ListParagraph"/>
        <w:numPr>
          <w:ilvl w:val="0"/>
          <w:numId w:val="6"/>
        </w:numPr>
        <w:rPr>
          <w:rFonts w:ascii="Arial" w:hAnsi="Arial" w:cs="Arial"/>
        </w:rPr>
      </w:pPr>
      <w:r w:rsidRPr="0072208B">
        <w:rPr>
          <w:rFonts w:ascii="Arial" w:hAnsi="Arial" w:cs="Arial"/>
        </w:rPr>
        <w:t>General Privacy Notice</w:t>
      </w:r>
    </w:p>
    <w:p w14:paraId="1061DB9C" w14:textId="4CFEBAE4" w:rsidR="00C071C1" w:rsidRPr="0072208B" w:rsidRDefault="00C071C1" w:rsidP="00C071C1">
      <w:pPr>
        <w:pStyle w:val="ListParagraph"/>
        <w:numPr>
          <w:ilvl w:val="0"/>
          <w:numId w:val="6"/>
        </w:numPr>
        <w:rPr>
          <w:rFonts w:ascii="Arial" w:hAnsi="Arial" w:cs="Arial"/>
        </w:rPr>
      </w:pPr>
      <w:r w:rsidRPr="0072208B">
        <w:rPr>
          <w:rFonts w:ascii="Arial" w:hAnsi="Arial" w:cs="Arial"/>
        </w:rPr>
        <w:t>Internal Privacy Notice</w:t>
      </w:r>
    </w:p>
    <w:p w14:paraId="26DC547B" w14:textId="0805D815" w:rsidR="00C071C1" w:rsidRPr="0072208B" w:rsidRDefault="00C071C1" w:rsidP="00C071C1">
      <w:pPr>
        <w:pStyle w:val="ListParagraph"/>
        <w:numPr>
          <w:ilvl w:val="0"/>
          <w:numId w:val="6"/>
        </w:numPr>
        <w:rPr>
          <w:rFonts w:ascii="Arial" w:hAnsi="Arial" w:cs="Arial"/>
        </w:rPr>
      </w:pPr>
      <w:r w:rsidRPr="0072208B">
        <w:rPr>
          <w:rFonts w:ascii="Arial" w:hAnsi="Arial" w:cs="Arial"/>
        </w:rPr>
        <w:t>Document Retention Schedule</w:t>
      </w:r>
    </w:p>
    <w:p w14:paraId="5D257737" w14:textId="5AA4B63C" w:rsidR="00C071C1" w:rsidRPr="0072208B" w:rsidRDefault="00C071C1" w:rsidP="00C071C1">
      <w:pPr>
        <w:pStyle w:val="ListParagraph"/>
        <w:numPr>
          <w:ilvl w:val="0"/>
          <w:numId w:val="6"/>
        </w:numPr>
        <w:rPr>
          <w:rFonts w:ascii="Arial" w:hAnsi="Arial" w:cs="Arial"/>
        </w:rPr>
      </w:pPr>
      <w:r w:rsidRPr="0072208B">
        <w:rPr>
          <w:rFonts w:ascii="Arial" w:hAnsi="Arial" w:cs="Arial"/>
        </w:rPr>
        <w:t>Contact details consent form</w:t>
      </w:r>
    </w:p>
    <w:p w14:paraId="3EF7482A" w14:textId="319FF2A4" w:rsidR="00C071C1" w:rsidRPr="0072208B" w:rsidRDefault="00C071C1" w:rsidP="00C071C1">
      <w:pPr>
        <w:pStyle w:val="ListParagraph"/>
        <w:numPr>
          <w:ilvl w:val="0"/>
          <w:numId w:val="6"/>
        </w:numPr>
        <w:rPr>
          <w:rFonts w:ascii="Arial" w:hAnsi="Arial" w:cs="Arial"/>
        </w:rPr>
      </w:pPr>
      <w:r w:rsidRPr="0072208B">
        <w:rPr>
          <w:rFonts w:ascii="Arial" w:hAnsi="Arial" w:cs="Arial"/>
        </w:rPr>
        <w:t>Publication Scheme ICO</w:t>
      </w:r>
    </w:p>
    <w:p w14:paraId="56029C01" w14:textId="384AC901" w:rsidR="00C071C1" w:rsidRPr="0072208B" w:rsidRDefault="00C071C1" w:rsidP="00C071C1">
      <w:pPr>
        <w:pStyle w:val="ListParagraph"/>
        <w:numPr>
          <w:ilvl w:val="0"/>
          <w:numId w:val="6"/>
        </w:numPr>
        <w:rPr>
          <w:rFonts w:ascii="Arial" w:hAnsi="Arial" w:cs="Arial"/>
        </w:rPr>
      </w:pPr>
      <w:r w:rsidRPr="0072208B">
        <w:rPr>
          <w:rFonts w:ascii="Arial" w:hAnsi="Arial" w:cs="Arial"/>
        </w:rPr>
        <w:t>Code of Conduct</w:t>
      </w:r>
    </w:p>
    <w:p w14:paraId="3C0D1785" w14:textId="51131F34" w:rsidR="00C071C1" w:rsidRPr="0072208B" w:rsidRDefault="00C071C1" w:rsidP="00C071C1">
      <w:pPr>
        <w:pStyle w:val="ListParagraph"/>
        <w:numPr>
          <w:ilvl w:val="0"/>
          <w:numId w:val="6"/>
        </w:numPr>
        <w:rPr>
          <w:rFonts w:ascii="Arial" w:hAnsi="Arial" w:cs="Arial"/>
        </w:rPr>
      </w:pPr>
      <w:r w:rsidRPr="0072208B">
        <w:rPr>
          <w:rFonts w:ascii="Arial" w:hAnsi="Arial" w:cs="Arial"/>
        </w:rPr>
        <w:t>Complaint Procedure</w:t>
      </w:r>
    </w:p>
    <w:p w14:paraId="69681CC9" w14:textId="76D97B67" w:rsidR="00C071C1" w:rsidRPr="0072208B" w:rsidRDefault="00C071C1" w:rsidP="00C071C1">
      <w:pPr>
        <w:pStyle w:val="ListParagraph"/>
        <w:numPr>
          <w:ilvl w:val="0"/>
          <w:numId w:val="6"/>
        </w:numPr>
        <w:rPr>
          <w:rFonts w:ascii="Arial" w:hAnsi="Arial" w:cs="Arial"/>
        </w:rPr>
      </w:pPr>
      <w:r w:rsidRPr="0072208B">
        <w:rPr>
          <w:rFonts w:ascii="Arial" w:hAnsi="Arial" w:cs="Arial"/>
        </w:rPr>
        <w:t>IT Policy</w:t>
      </w:r>
    </w:p>
    <w:p w14:paraId="53B43DCD" w14:textId="1E731A85" w:rsidR="00C071C1" w:rsidRPr="0072208B" w:rsidRDefault="00C071C1" w:rsidP="00C071C1">
      <w:pPr>
        <w:pStyle w:val="ListParagraph"/>
        <w:numPr>
          <w:ilvl w:val="0"/>
          <w:numId w:val="6"/>
        </w:numPr>
        <w:rPr>
          <w:rFonts w:ascii="Arial" w:hAnsi="Arial" w:cs="Arial"/>
        </w:rPr>
      </w:pPr>
      <w:r w:rsidRPr="0072208B">
        <w:rPr>
          <w:rFonts w:ascii="Arial" w:hAnsi="Arial" w:cs="Arial"/>
        </w:rPr>
        <w:t>Register of Members Interests</w:t>
      </w:r>
    </w:p>
    <w:p w14:paraId="5481958C" w14:textId="7ABDED29" w:rsidR="00C071C1" w:rsidRPr="0072208B" w:rsidRDefault="00C071C1" w:rsidP="00066A79">
      <w:pPr>
        <w:pStyle w:val="ListParagraph"/>
        <w:numPr>
          <w:ilvl w:val="0"/>
          <w:numId w:val="6"/>
        </w:numPr>
        <w:rPr>
          <w:rFonts w:ascii="Arial" w:hAnsi="Arial" w:cs="Arial"/>
        </w:rPr>
      </w:pPr>
      <w:r w:rsidRPr="0072208B">
        <w:rPr>
          <w:rFonts w:ascii="Arial" w:hAnsi="Arial" w:cs="Arial"/>
        </w:rPr>
        <w:t>Fees and Charges</w:t>
      </w:r>
    </w:p>
    <w:p w14:paraId="00022E18" w14:textId="7793BA4C" w:rsidR="00D661B7" w:rsidRPr="0072208B" w:rsidRDefault="00D661B7" w:rsidP="00D661B7">
      <w:pPr>
        <w:rPr>
          <w:rFonts w:ascii="Arial" w:hAnsi="Arial" w:cs="Arial"/>
        </w:rPr>
      </w:pPr>
      <w:r w:rsidRPr="0072208B">
        <w:rPr>
          <w:rFonts w:ascii="Arial" w:hAnsi="Arial" w:cs="Arial"/>
        </w:rPr>
        <w:t>In line with the Transparency Code Amble Town Council confirms that the following information is published:</w:t>
      </w:r>
    </w:p>
    <w:p w14:paraId="0146339C" w14:textId="2727CB6A" w:rsidR="00D661B7" w:rsidRPr="0072208B" w:rsidRDefault="00D661B7" w:rsidP="00D661B7">
      <w:pPr>
        <w:pStyle w:val="ListParagraph"/>
        <w:numPr>
          <w:ilvl w:val="0"/>
          <w:numId w:val="7"/>
        </w:numPr>
        <w:rPr>
          <w:rFonts w:ascii="Arial" w:hAnsi="Arial" w:cs="Arial"/>
        </w:rPr>
      </w:pPr>
      <w:r w:rsidRPr="0072208B">
        <w:rPr>
          <w:rFonts w:ascii="Arial" w:hAnsi="Arial" w:cs="Arial"/>
        </w:rPr>
        <w:t>all items of expenditure above £10</w:t>
      </w:r>
      <w:r w:rsidRPr="0072208B">
        <w:rPr>
          <w:rFonts w:ascii="Arial" w:hAnsi="Arial" w:cs="Arial"/>
        </w:rPr>
        <w:t>0</w:t>
      </w:r>
    </w:p>
    <w:p w14:paraId="7599773F" w14:textId="25396FD8"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end of year accounts </w:t>
      </w:r>
    </w:p>
    <w:p w14:paraId="3070F609" w14:textId="63EE0E5E"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annual governance statement </w:t>
      </w:r>
    </w:p>
    <w:p w14:paraId="00437191" w14:textId="72C09CAB"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internal audit report </w:t>
      </w:r>
    </w:p>
    <w:p w14:paraId="24654F48" w14:textId="4A255B0E"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list of councillor or member responsibilities </w:t>
      </w:r>
    </w:p>
    <w:p w14:paraId="40F6B30E" w14:textId="3FC3BB20"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the details of public land and building assets  </w:t>
      </w:r>
    </w:p>
    <w:p w14:paraId="4A83017C" w14:textId="67995EE9" w:rsidR="00D661B7" w:rsidRPr="0072208B" w:rsidRDefault="00D661B7" w:rsidP="00D661B7">
      <w:pPr>
        <w:pStyle w:val="ListParagraph"/>
        <w:numPr>
          <w:ilvl w:val="0"/>
          <w:numId w:val="7"/>
        </w:numPr>
        <w:rPr>
          <w:rFonts w:ascii="Arial" w:hAnsi="Arial" w:cs="Arial"/>
        </w:rPr>
      </w:pPr>
      <w:r w:rsidRPr="0072208B">
        <w:rPr>
          <w:rFonts w:ascii="Arial" w:hAnsi="Arial" w:cs="Arial"/>
        </w:rPr>
        <w:t xml:space="preserve">Minutes, agendas and meeting papers of formal meetings </w:t>
      </w:r>
    </w:p>
    <w:p w14:paraId="2AC4FB4E" w14:textId="64D2F60C" w:rsidR="00EF5D85" w:rsidRPr="0072208B" w:rsidRDefault="00EF5D85">
      <w:pPr>
        <w:rPr>
          <w:rFonts w:ascii="Arial" w:hAnsi="Arial" w:cs="Arial"/>
          <w:b/>
          <w:bCs/>
        </w:rPr>
      </w:pPr>
      <w:r w:rsidRPr="0072208B">
        <w:rPr>
          <w:rFonts w:ascii="Arial" w:hAnsi="Arial" w:cs="Arial"/>
          <w:b/>
          <w:bCs/>
        </w:rPr>
        <w:t>1.51 All smaller authorities, including parish meetings, must follow both the General Data Protection Regulation (GDPR) 2016 and the Data Protection Act (DPA) 2018</w:t>
      </w:r>
    </w:p>
    <w:p w14:paraId="33BD69B1" w14:textId="20B1D2EC" w:rsidR="00066A79" w:rsidRPr="0072208B" w:rsidRDefault="00066A79">
      <w:pPr>
        <w:rPr>
          <w:rFonts w:ascii="Arial" w:hAnsi="Arial" w:cs="Arial"/>
        </w:rPr>
      </w:pPr>
      <w:r w:rsidRPr="0072208B">
        <w:rPr>
          <w:rFonts w:ascii="Arial" w:hAnsi="Arial" w:cs="Arial"/>
        </w:rPr>
        <w:t>Amble Town Council is committed to ensuring Data Protection legislation is followed.  All staff have completed GDPR training.  The Data Audit is a working document and to be read in conjunction with the document retention schedule.  The Town Council also has a Data Protection Risk Assessment reviewed annually.  A data protection road map has been developed in line with NALC and SLCC guidance.</w:t>
      </w:r>
    </w:p>
    <w:p w14:paraId="5B8386C6" w14:textId="60F567B9" w:rsidR="00EF5D85" w:rsidRPr="0072208B" w:rsidRDefault="00EF5D85">
      <w:pPr>
        <w:rPr>
          <w:rFonts w:ascii="Arial" w:hAnsi="Arial" w:cs="Arial"/>
          <w:b/>
          <w:bCs/>
        </w:rPr>
      </w:pPr>
      <w:r w:rsidRPr="0072208B">
        <w:rPr>
          <w:rFonts w:ascii="Arial" w:hAnsi="Arial" w:cs="Arial"/>
          <w:b/>
          <w:bCs/>
        </w:rPr>
        <w:lastRenderedPageBreak/>
        <w:t>1.52   All smaller authorities, including parish meetings, must process personal data with care and in line with the principles of data protection</w:t>
      </w:r>
      <w:r w:rsidR="00066A79" w:rsidRPr="0072208B">
        <w:rPr>
          <w:rFonts w:ascii="Arial" w:hAnsi="Arial" w:cs="Arial"/>
          <w:b/>
          <w:bCs/>
        </w:rPr>
        <w:t>.</w:t>
      </w:r>
    </w:p>
    <w:p w14:paraId="26091C04" w14:textId="44D93134" w:rsidR="00066A79" w:rsidRPr="0072208B" w:rsidRDefault="00066A79">
      <w:pPr>
        <w:rPr>
          <w:rFonts w:ascii="Arial" w:hAnsi="Arial" w:cs="Arial"/>
        </w:rPr>
      </w:pPr>
      <w:r w:rsidRPr="0072208B">
        <w:rPr>
          <w:rFonts w:ascii="Arial" w:hAnsi="Arial" w:cs="Arial"/>
        </w:rPr>
        <w:t>Amble Town Council is committed to handling all data with care.  All data held is to be held with for a specific purpose and then destroyed once no longer required (if applicable) document retention schedule to be considered prior to destroying data.</w:t>
      </w:r>
    </w:p>
    <w:p w14:paraId="37B23C8F" w14:textId="708FEF9F" w:rsidR="00EF5D85" w:rsidRPr="0072208B" w:rsidRDefault="00EF5D85">
      <w:pPr>
        <w:rPr>
          <w:rFonts w:ascii="Arial" w:hAnsi="Arial" w:cs="Arial"/>
          <w:b/>
          <w:bCs/>
        </w:rPr>
      </w:pPr>
      <w:r w:rsidRPr="0072208B">
        <w:rPr>
          <w:rFonts w:ascii="Arial" w:hAnsi="Arial" w:cs="Arial"/>
          <w:b/>
          <w:bCs/>
        </w:rPr>
        <w:t xml:space="preserve">1.53 </w:t>
      </w:r>
      <w:r w:rsidRPr="0072208B">
        <w:rPr>
          <w:rFonts w:ascii="Arial" w:hAnsi="Arial" w:cs="Arial"/>
          <w:b/>
          <w:bCs/>
        </w:rPr>
        <w:t>The DPA 2018 supplements the GDPR and classifies a parish council as both a Data Controller and a Data Processor.</w:t>
      </w:r>
    </w:p>
    <w:p w14:paraId="7AD70C08" w14:textId="5E506161" w:rsidR="00066A79" w:rsidRPr="0072208B" w:rsidRDefault="00066A79">
      <w:pPr>
        <w:rPr>
          <w:rFonts w:ascii="Arial" w:hAnsi="Arial" w:cs="Arial"/>
        </w:rPr>
      </w:pPr>
      <w:r w:rsidRPr="0072208B">
        <w:rPr>
          <w:rFonts w:ascii="Arial" w:hAnsi="Arial" w:cs="Arial"/>
        </w:rPr>
        <w:t xml:space="preserve">Amble Town Council is both the Data Controller and Data Processor. </w:t>
      </w:r>
    </w:p>
    <w:p w14:paraId="55341011" w14:textId="25E315B5" w:rsidR="00EF5D85" w:rsidRPr="0072208B" w:rsidRDefault="00EF5D85" w:rsidP="00066A79">
      <w:pPr>
        <w:rPr>
          <w:rFonts w:ascii="Arial" w:hAnsi="Arial" w:cs="Arial"/>
          <w:b/>
          <w:bCs/>
        </w:rPr>
      </w:pPr>
      <w:r w:rsidRPr="0072208B">
        <w:rPr>
          <w:rFonts w:ascii="Arial" w:hAnsi="Arial" w:cs="Arial"/>
          <w:b/>
          <w:bCs/>
        </w:rPr>
        <w:t xml:space="preserve"> 1.54 All smaller authorities (excluding parish meetings) must also have an IT policy. This explains how everyone - clerks, members and other staff - should conduct authority business in a secure and legal way when using IT equipment and software. This relates to the use of authority-owned and personal equipment</w:t>
      </w:r>
      <w:r w:rsidR="00066A79" w:rsidRPr="0072208B">
        <w:rPr>
          <w:rFonts w:ascii="Arial" w:hAnsi="Arial" w:cs="Arial"/>
          <w:b/>
          <w:bCs/>
        </w:rPr>
        <w:t>.</w:t>
      </w:r>
    </w:p>
    <w:p w14:paraId="7338A6C4" w14:textId="5DD7CFF7" w:rsidR="00066A79" w:rsidRPr="0072208B" w:rsidRDefault="00066A79" w:rsidP="00066A79">
      <w:pPr>
        <w:rPr>
          <w:rFonts w:ascii="Arial" w:hAnsi="Arial" w:cs="Arial"/>
        </w:rPr>
      </w:pPr>
      <w:r w:rsidRPr="0072208B">
        <w:rPr>
          <w:rFonts w:ascii="Arial" w:hAnsi="Arial" w:cs="Arial"/>
        </w:rPr>
        <w:t>Amble Town Council has adopted the NALC Model IT Policy.  All members have had sight of this policy.  All Amble Town Council computerware is provided by Northumberland County Council</w:t>
      </w:r>
      <w:r w:rsidR="00D661B7" w:rsidRPr="0072208B">
        <w:rPr>
          <w:rFonts w:ascii="Arial" w:hAnsi="Arial" w:cs="Arial"/>
        </w:rPr>
        <w:t xml:space="preserve">.  Northumberland County Council provides an important level of security across all Amble Town Council computers and Member tablets.  </w:t>
      </w:r>
    </w:p>
    <w:p w14:paraId="3C7BAD9F" w14:textId="4804935A" w:rsidR="00D661B7" w:rsidRPr="00D661B7" w:rsidRDefault="00D661B7" w:rsidP="00D661B7">
      <w:pPr>
        <w:rPr>
          <w:rFonts w:ascii="Arial" w:hAnsi="Arial" w:cs="Arial"/>
        </w:rPr>
      </w:pPr>
      <w:r w:rsidRPr="0072208B">
        <w:rPr>
          <w:rFonts w:ascii="Arial" w:hAnsi="Arial" w:cs="Arial"/>
        </w:rPr>
        <w:t>The computer systems prevent installation on devices and computers without providing specific admin credentials obtained from Northumberland County Council.</w:t>
      </w:r>
    </w:p>
    <w:p w14:paraId="6FC07032" w14:textId="0373AF6B"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72208B">
        <w:rPr>
          <w:rFonts w:ascii="Arial" w:eastAsia="Times New Roman" w:hAnsi="Arial" w:cs="Arial"/>
          <w:kern w:val="0"/>
          <w:bdr w:val="none" w:sz="0" w:space="0" w:color="auto" w:frame="1"/>
          <w:lang w:eastAsia="en-GB"/>
          <w14:ligatures w14:val="none"/>
        </w:rPr>
        <w:t>The Council has</w:t>
      </w:r>
      <w:r w:rsidRPr="00D661B7">
        <w:rPr>
          <w:rFonts w:ascii="Arial" w:eastAsia="Times New Roman" w:hAnsi="Arial" w:cs="Arial"/>
          <w:kern w:val="0"/>
          <w:bdr w:val="none" w:sz="0" w:space="0" w:color="auto" w:frame="1"/>
          <w:lang w:eastAsia="en-GB"/>
          <w14:ligatures w14:val="none"/>
        </w:rPr>
        <w:t xml:space="preserve"> Defender for Office 365 P1 licences </w:t>
      </w:r>
      <w:r w:rsidRPr="0072208B">
        <w:rPr>
          <w:rFonts w:ascii="Arial" w:eastAsia="Times New Roman" w:hAnsi="Arial" w:cs="Arial"/>
          <w:kern w:val="0"/>
          <w:bdr w:val="none" w:sz="0" w:space="0" w:color="auto" w:frame="1"/>
          <w:lang w:eastAsia="en-GB"/>
          <w14:ligatures w14:val="none"/>
        </w:rPr>
        <w:t xml:space="preserve">that </w:t>
      </w:r>
      <w:r w:rsidRPr="00D661B7">
        <w:rPr>
          <w:rFonts w:ascii="Arial" w:eastAsia="Times New Roman" w:hAnsi="Arial" w:cs="Arial"/>
          <w:kern w:val="0"/>
          <w:bdr w:val="none" w:sz="0" w:space="0" w:color="auto" w:frame="1"/>
          <w:lang w:eastAsia="en-GB"/>
          <w14:ligatures w14:val="none"/>
        </w:rPr>
        <w:t>include Anti-phishing, Anti-spam, Malware detection, Link and attachment protection and Ransomware protection</w:t>
      </w:r>
      <w:r w:rsidRPr="0072208B">
        <w:rPr>
          <w:rFonts w:ascii="Arial" w:eastAsia="Times New Roman" w:hAnsi="Arial" w:cs="Arial"/>
          <w:kern w:val="0"/>
          <w:bdr w:val="none" w:sz="0" w:space="0" w:color="auto" w:frame="1"/>
          <w:lang w:eastAsia="en-GB"/>
          <w14:ligatures w14:val="none"/>
        </w:rPr>
        <w:t>.</w:t>
      </w:r>
    </w:p>
    <w:p w14:paraId="449D1A49" w14:textId="77777777"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p>
    <w:p w14:paraId="5A06408E" w14:textId="52CBC3D0"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D661B7">
        <w:rPr>
          <w:rFonts w:ascii="Arial" w:eastAsia="Times New Roman" w:hAnsi="Arial" w:cs="Arial"/>
          <w:kern w:val="0"/>
          <w:bdr w:val="none" w:sz="0" w:space="0" w:color="auto" w:frame="1"/>
          <w:lang w:eastAsia="en-GB"/>
          <w14:ligatures w14:val="none"/>
        </w:rPr>
        <w:t>There are role-based admin accounts on the tenant</w:t>
      </w:r>
      <w:r w:rsidRPr="0072208B">
        <w:rPr>
          <w:rFonts w:ascii="Arial" w:eastAsia="Times New Roman" w:hAnsi="Arial" w:cs="Arial"/>
          <w:kern w:val="0"/>
          <w:bdr w:val="none" w:sz="0" w:space="0" w:color="auto" w:frame="1"/>
          <w:lang w:eastAsia="en-GB"/>
          <w14:ligatures w14:val="none"/>
        </w:rPr>
        <w:t xml:space="preserve"> license</w:t>
      </w:r>
      <w:r w:rsidRPr="00D661B7">
        <w:rPr>
          <w:rFonts w:ascii="Arial" w:eastAsia="Times New Roman" w:hAnsi="Arial" w:cs="Arial"/>
          <w:kern w:val="0"/>
          <w:bdr w:val="none" w:sz="0" w:space="0" w:color="auto" w:frame="1"/>
          <w:lang w:eastAsia="en-GB"/>
          <w14:ligatures w14:val="none"/>
        </w:rPr>
        <w:t xml:space="preserve"> and there is an Admin account (</w:t>
      </w:r>
      <w:proofErr w:type="spellStart"/>
      <w:r w:rsidRPr="00D661B7">
        <w:rPr>
          <w:rFonts w:ascii="Arial" w:eastAsia="Times New Roman" w:hAnsi="Arial" w:cs="Arial"/>
          <w:kern w:val="0"/>
          <w:bdr w:val="none" w:sz="0" w:space="0" w:color="auto" w:frame="1"/>
          <w:lang w:eastAsia="en-GB"/>
          <w14:ligatures w14:val="none"/>
        </w:rPr>
        <w:t>NCC_CloudAdmin</w:t>
      </w:r>
      <w:proofErr w:type="spellEnd"/>
      <w:r w:rsidRPr="00D661B7">
        <w:rPr>
          <w:rFonts w:ascii="Arial" w:eastAsia="Times New Roman" w:hAnsi="Arial" w:cs="Arial"/>
          <w:kern w:val="0"/>
          <w:bdr w:val="none" w:sz="0" w:space="0" w:color="auto" w:frame="1"/>
          <w:lang w:eastAsia="en-GB"/>
          <w14:ligatures w14:val="none"/>
        </w:rPr>
        <w:t xml:space="preserve">) for </w:t>
      </w:r>
      <w:r w:rsidRPr="0072208B">
        <w:rPr>
          <w:rFonts w:ascii="Arial" w:eastAsia="Times New Roman" w:hAnsi="Arial" w:cs="Arial"/>
          <w:kern w:val="0"/>
          <w:bdr w:val="none" w:sz="0" w:space="0" w:color="auto" w:frame="1"/>
          <w:lang w:eastAsia="en-GB"/>
          <w14:ligatures w14:val="none"/>
        </w:rPr>
        <w:t>Amble Town Council PCs</w:t>
      </w:r>
    </w:p>
    <w:p w14:paraId="3FF9D4C1" w14:textId="77777777"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p>
    <w:p w14:paraId="6E63B678" w14:textId="0238D85D"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72208B">
        <w:rPr>
          <w:rFonts w:ascii="Arial" w:eastAsia="Times New Roman" w:hAnsi="Arial" w:cs="Arial"/>
          <w:kern w:val="0"/>
          <w:bdr w:val="none" w:sz="0" w:space="0" w:color="auto" w:frame="1"/>
          <w:lang w:eastAsia="en-GB"/>
          <w14:ligatures w14:val="none"/>
        </w:rPr>
        <w:t xml:space="preserve">Automatic security updates are installed. </w:t>
      </w:r>
    </w:p>
    <w:p w14:paraId="025C08F1" w14:textId="77777777"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p>
    <w:p w14:paraId="1FCFB608" w14:textId="7B56F139"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72208B">
        <w:rPr>
          <w:rFonts w:ascii="Arial" w:eastAsia="Times New Roman" w:hAnsi="Arial" w:cs="Arial"/>
          <w:kern w:val="0"/>
          <w:bdr w:val="none" w:sz="0" w:space="0" w:color="auto" w:frame="1"/>
          <w:lang w:eastAsia="en-GB"/>
          <w14:ligatures w14:val="none"/>
        </w:rPr>
        <w:t>Northumberland County Council</w:t>
      </w:r>
      <w:r w:rsidRPr="00D661B7">
        <w:rPr>
          <w:rFonts w:ascii="Arial" w:eastAsia="Times New Roman" w:hAnsi="Arial" w:cs="Arial"/>
          <w:kern w:val="0"/>
          <w:bdr w:val="none" w:sz="0" w:space="0" w:color="auto" w:frame="1"/>
          <w:lang w:eastAsia="en-GB"/>
          <w14:ligatures w14:val="none"/>
        </w:rPr>
        <w:t xml:space="preserve"> we rely on MS’s default and inbuilt backup and </w:t>
      </w:r>
      <w:proofErr w:type="gramStart"/>
      <w:r w:rsidRPr="00D661B7">
        <w:rPr>
          <w:rFonts w:ascii="Arial" w:eastAsia="Times New Roman" w:hAnsi="Arial" w:cs="Arial"/>
          <w:kern w:val="0"/>
          <w:bdr w:val="none" w:sz="0" w:space="0" w:color="auto" w:frame="1"/>
          <w:lang w:eastAsia="en-GB"/>
          <w14:ligatures w14:val="none"/>
        </w:rPr>
        <w:t>high-availability</w:t>
      </w:r>
      <w:proofErr w:type="gramEnd"/>
      <w:r w:rsidRPr="0072208B">
        <w:rPr>
          <w:rFonts w:ascii="Arial" w:eastAsia="Times New Roman" w:hAnsi="Arial" w:cs="Arial"/>
          <w:kern w:val="0"/>
          <w:bdr w:val="none" w:sz="0" w:space="0" w:color="auto" w:frame="1"/>
          <w:lang w:eastAsia="en-GB"/>
          <w14:ligatures w14:val="none"/>
        </w:rPr>
        <w:t xml:space="preserve"> for back up.</w:t>
      </w:r>
    </w:p>
    <w:p w14:paraId="121440ED" w14:textId="51711C54"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D661B7">
        <w:rPr>
          <w:rFonts w:ascii="Arial" w:eastAsia="Times New Roman" w:hAnsi="Arial" w:cs="Arial"/>
          <w:kern w:val="0"/>
          <w:lang w:eastAsia="en-GB"/>
          <w14:ligatures w14:val="none"/>
        </w:rPr>
        <w:t> </w:t>
      </w:r>
    </w:p>
    <w:p w14:paraId="2E0B8416" w14:textId="222E5BFE" w:rsidR="00D661B7" w:rsidRPr="00D661B7" w:rsidRDefault="00D661B7" w:rsidP="00D661B7">
      <w:pPr>
        <w:spacing w:after="0" w:line="240" w:lineRule="auto"/>
        <w:textAlignment w:val="baseline"/>
        <w:rPr>
          <w:rFonts w:ascii="Arial" w:eastAsia="Times New Roman" w:hAnsi="Arial" w:cs="Arial"/>
          <w:kern w:val="0"/>
          <w:lang w:eastAsia="en-GB"/>
          <w14:ligatures w14:val="none"/>
        </w:rPr>
      </w:pPr>
      <w:r w:rsidRPr="00D661B7">
        <w:rPr>
          <w:rFonts w:ascii="Arial" w:eastAsia="Times New Roman" w:hAnsi="Arial" w:cs="Arial"/>
          <w:kern w:val="0"/>
          <w:bdr w:val="none" w:sz="0" w:space="0" w:color="auto" w:frame="1"/>
          <w:lang w:eastAsia="en-GB"/>
          <w14:ligatures w14:val="none"/>
        </w:rPr>
        <w:t xml:space="preserve">DMARC </w:t>
      </w:r>
      <w:r w:rsidRPr="0072208B">
        <w:rPr>
          <w:rFonts w:ascii="Arial" w:eastAsia="Times New Roman" w:hAnsi="Arial" w:cs="Arial"/>
          <w:kern w:val="0"/>
          <w:bdr w:val="none" w:sz="0" w:space="0" w:color="auto" w:frame="1"/>
          <w:lang w:eastAsia="en-GB"/>
          <w14:ligatures w14:val="none"/>
        </w:rPr>
        <w:t xml:space="preserve">is </w:t>
      </w:r>
      <w:r w:rsidRPr="00D661B7">
        <w:rPr>
          <w:rFonts w:ascii="Arial" w:eastAsia="Times New Roman" w:hAnsi="Arial" w:cs="Arial"/>
          <w:kern w:val="0"/>
          <w:bdr w:val="none" w:sz="0" w:space="0" w:color="auto" w:frame="1"/>
          <w:lang w:eastAsia="en-GB"/>
          <w14:ligatures w14:val="none"/>
        </w:rPr>
        <w:t xml:space="preserve">configured on </w:t>
      </w:r>
      <w:r w:rsidRPr="0072208B">
        <w:rPr>
          <w:rFonts w:ascii="Arial" w:eastAsia="Times New Roman" w:hAnsi="Arial" w:cs="Arial"/>
          <w:kern w:val="0"/>
          <w:bdr w:val="none" w:sz="0" w:space="0" w:color="auto" w:frame="1"/>
          <w:lang w:eastAsia="en-GB"/>
          <w14:ligatures w14:val="none"/>
        </w:rPr>
        <w:t>all email accounts</w:t>
      </w:r>
      <w:r w:rsidRPr="00D661B7">
        <w:rPr>
          <w:rFonts w:ascii="Arial" w:eastAsia="Times New Roman" w:hAnsi="Arial" w:cs="Arial"/>
          <w:kern w:val="0"/>
          <w:bdr w:val="none" w:sz="0" w:space="0" w:color="auto" w:frame="1"/>
          <w:lang w:eastAsia="en-GB"/>
          <w14:ligatures w14:val="none"/>
        </w:rPr>
        <w:t>. DMARC is an email security standard that lets domain owners tell receiving mail servers how to handle messages that fail authentication, helping prevent spoofing and phishing.</w:t>
      </w:r>
    </w:p>
    <w:p w14:paraId="113A5F54" w14:textId="77777777" w:rsidR="00EF5D85" w:rsidRDefault="00EF5D85">
      <w:pPr>
        <w:rPr>
          <w:rFonts w:ascii="Arial" w:eastAsia="Times New Roman" w:hAnsi="Arial" w:cs="Arial"/>
          <w:color w:val="2D2D2E"/>
          <w:kern w:val="0"/>
          <w:lang w:eastAsia="en-GB"/>
          <w14:ligatures w14:val="none"/>
        </w:rPr>
      </w:pPr>
    </w:p>
    <w:p w14:paraId="2DED5B18" w14:textId="77777777" w:rsidR="0072208B" w:rsidRDefault="0072208B"/>
    <w:sectPr w:rsidR="00722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2469"/>
    <w:multiLevelType w:val="multilevel"/>
    <w:tmpl w:val="FD66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65661"/>
    <w:multiLevelType w:val="multilevel"/>
    <w:tmpl w:val="C9D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44BE2"/>
    <w:multiLevelType w:val="hybridMultilevel"/>
    <w:tmpl w:val="AD30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B115CE"/>
    <w:multiLevelType w:val="multilevel"/>
    <w:tmpl w:val="45F8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731BF"/>
    <w:multiLevelType w:val="hybridMultilevel"/>
    <w:tmpl w:val="45EA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A0CF3"/>
    <w:multiLevelType w:val="multilevel"/>
    <w:tmpl w:val="116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F1297"/>
    <w:multiLevelType w:val="multilevel"/>
    <w:tmpl w:val="BDE0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322377">
    <w:abstractNumId w:val="1"/>
  </w:num>
  <w:num w:numId="2" w16cid:durableId="1718166705">
    <w:abstractNumId w:val="5"/>
  </w:num>
  <w:num w:numId="3" w16cid:durableId="1509759644">
    <w:abstractNumId w:val="3"/>
  </w:num>
  <w:num w:numId="4" w16cid:durableId="771128215">
    <w:abstractNumId w:val="6"/>
  </w:num>
  <w:num w:numId="5" w16cid:durableId="1864589594">
    <w:abstractNumId w:val="0"/>
  </w:num>
  <w:num w:numId="6" w16cid:durableId="1603608322">
    <w:abstractNumId w:val="2"/>
  </w:num>
  <w:num w:numId="7" w16cid:durableId="1552959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85"/>
    <w:rsid w:val="00066A79"/>
    <w:rsid w:val="00553E63"/>
    <w:rsid w:val="0063476A"/>
    <w:rsid w:val="0072208B"/>
    <w:rsid w:val="008A5E41"/>
    <w:rsid w:val="00B4241D"/>
    <w:rsid w:val="00C071C1"/>
    <w:rsid w:val="00D050D3"/>
    <w:rsid w:val="00D661B7"/>
    <w:rsid w:val="00EF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B813"/>
  <w15:chartTrackingRefBased/>
  <w15:docId w15:val="{CDEBF74E-B06C-4A46-A333-B572CDA9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D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D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D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D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D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D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D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D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D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D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D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D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D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D85"/>
    <w:rPr>
      <w:rFonts w:eastAsiaTheme="majorEastAsia" w:cstheme="majorBidi"/>
      <w:color w:val="272727" w:themeColor="text1" w:themeTint="D8"/>
    </w:rPr>
  </w:style>
  <w:style w:type="paragraph" w:styleId="Title">
    <w:name w:val="Title"/>
    <w:basedOn w:val="Normal"/>
    <w:next w:val="Normal"/>
    <w:link w:val="TitleChar"/>
    <w:uiPriority w:val="10"/>
    <w:qFormat/>
    <w:rsid w:val="00EF5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D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D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D85"/>
    <w:pPr>
      <w:spacing w:before="160"/>
      <w:jc w:val="center"/>
    </w:pPr>
    <w:rPr>
      <w:i/>
      <w:iCs/>
      <w:color w:val="404040" w:themeColor="text1" w:themeTint="BF"/>
    </w:rPr>
  </w:style>
  <w:style w:type="character" w:customStyle="1" w:styleId="QuoteChar">
    <w:name w:val="Quote Char"/>
    <w:basedOn w:val="DefaultParagraphFont"/>
    <w:link w:val="Quote"/>
    <w:uiPriority w:val="29"/>
    <w:rsid w:val="00EF5D85"/>
    <w:rPr>
      <w:i/>
      <w:iCs/>
      <w:color w:val="404040" w:themeColor="text1" w:themeTint="BF"/>
    </w:rPr>
  </w:style>
  <w:style w:type="paragraph" w:styleId="ListParagraph">
    <w:name w:val="List Paragraph"/>
    <w:basedOn w:val="Normal"/>
    <w:uiPriority w:val="34"/>
    <w:qFormat/>
    <w:rsid w:val="00EF5D85"/>
    <w:pPr>
      <w:ind w:left="720"/>
      <w:contextualSpacing/>
    </w:pPr>
  </w:style>
  <w:style w:type="character" w:styleId="IntenseEmphasis">
    <w:name w:val="Intense Emphasis"/>
    <w:basedOn w:val="DefaultParagraphFont"/>
    <w:uiPriority w:val="21"/>
    <w:qFormat/>
    <w:rsid w:val="00EF5D85"/>
    <w:rPr>
      <w:i/>
      <w:iCs/>
      <w:color w:val="0F4761" w:themeColor="accent1" w:themeShade="BF"/>
    </w:rPr>
  </w:style>
  <w:style w:type="paragraph" w:styleId="IntenseQuote">
    <w:name w:val="Intense Quote"/>
    <w:basedOn w:val="Normal"/>
    <w:next w:val="Normal"/>
    <w:link w:val="IntenseQuoteChar"/>
    <w:uiPriority w:val="30"/>
    <w:qFormat/>
    <w:rsid w:val="00EF5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D85"/>
    <w:rPr>
      <w:i/>
      <w:iCs/>
      <w:color w:val="0F4761" w:themeColor="accent1" w:themeShade="BF"/>
    </w:rPr>
  </w:style>
  <w:style w:type="character" w:styleId="IntenseReference">
    <w:name w:val="Intense Reference"/>
    <w:basedOn w:val="DefaultParagraphFont"/>
    <w:uiPriority w:val="32"/>
    <w:qFormat/>
    <w:rsid w:val="00EF5D85"/>
    <w:rPr>
      <w:b/>
      <w:bCs/>
      <w:smallCaps/>
      <w:color w:val="0F4761" w:themeColor="accent1" w:themeShade="BF"/>
      <w:spacing w:val="5"/>
    </w:rPr>
  </w:style>
  <w:style w:type="character" w:styleId="Hyperlink">
    <w:name w:val="Hyperlink"/>
    <w:basedOn w:val="DefaultParagraphFont"/>
    <w:uiPriority w:val="99"/>
    <w:unhideWhenUsed/>
    <w:rsid w:val="00EF5D85"/>
    <w:rPr>
      <w:color w:val="467886" w:themeColor="hyperlink"/>
      <w:u w:val="single"/>
    </w:rPr>
  </w:style>
  <w:style w:type="character" w:styleId="UnresolvedMention">
    <w:name w:val="Unresolved Mention"/>
    <w:basedOn w:val="DefaultParagraphFont"/>
    <w:uiPriority w:val="99"/>
    <w:semiHidden/>
    <w:unhideWhenUsed/>
    <w:rsid w:val="00EF5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amble.gov.uk" TargetMode="External"/><Relationship Id="rId3" Type="http://schemas.openxmlformats.org/officeDocument/2006/relationships/settings" Target="settings.xml"/><Relationship Id="rId7" Type="http://schemas.openxmlformats.org/officeDocument/2006/relationships/hyperlink" Target="mailto:admin@amb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amble.gov.uk" TargetMode="External"/><Relationship Id="rId5" Type="http://schemas.openxmlformats.org/officeDocument/2006/relationships/hyperlink" Target="mailto:abcparishclerk@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894</Words>
  <Characters>4874</Characters>
  <Application>Microsoft Office Word</Application>
  <DocSecurity>0</DocSecurity>
  <Lines>286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Smith</dc:creator>
  <cp:keywords/>
  <dc:description/>
  <cp:lastModifiedBy>Vicki Smith</cp:lastModifiedBy>
  <cp:revision>1</cp:revision>
  <dcterms:created xsi:type="dcterms:W3CDTF">2026-02-05T14:51:00Z</dcterms:created>
  <dcterms:modified xsi:type="dcterms:W3CDTF">2026-02-05T16:04:00Z</dcterms:modified>
</cp:coreProperties>
</file>